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25.07.2026, 02:44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({plus}3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гликогенозов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наследственных миопатий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мукополисахаридозов</w:t>
      </w:r>
    </w:p>
    <w:p>
      <w:pPr>
        <w:ind w:left="504"/>
      </w:pPr>
      <w:r>
        <w:rPr>
          <w:b w:val="0"/>
          <w:i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  <w:br/>
        <w:br/>
        <w:t>Методические рекомендации по ранней диагностике мукополисаардозов, 2019г. (стр. 10-11)</w:t>
        <w:br/>
        <w:br/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кариотипирование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экскреции меди с мочой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активности лиозосомных ферментов (гидролаз)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экскреции гликозаминогликонов (дерматансульфата и гепарансульфата) с мочой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желчных кислот мочи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исследование активности лиозосомных ферментов (гидролаз); 5 — исследование экскреции гликозаминогликонов (дерматансульфата и гепарансульфата) с мочой</w:t>
      </w:r>
    </w:p>
    <w:p>
      <w:pPr>
        <w:ind w:left="504"/>
      </w:pPr>
      <w:r>
        <w:rPr>
          <w:b w:val="0"/>
          <w:i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_GALE_ (OMIM: * </w:t>
      </w:r>
      <w:hyperlink r:id="rId25">
        <w:r>
          <w:rPr>
            <w:color w:val="173C49"/>
            <w:u w:val="single"/>
          </w:rPr>
          <w:t>606953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_PAH_ (OMIM: * </w:t>
      </w:r>
      <w:hyperlink r:id="rId26">
        <w:r>
          <w:rPr>
            <w:color w:val="173C49"/>
            <w:u w:val="single"/>
          </w:rPr>
          <w:t>612349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_IDUA_ (OMIM:* </w:t>
      </w:r>
      <w:hyperlink r:id="rId28">
        <w:r>
          <w:rPr>
            <w:color w:val="173C49"/>
            <w:u w:val="single"/>
          </w:rPr>
          <w:t>252800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_GALK1_ (OMIM: * </w:t>
      </w:r>
      <w:hyperlink r:id="rId29">
        <w:r>
          <w:rPr>
            <w:color w:val="173C49"/>
            <w:u w:val="single"/>
          </w:rPr>
          <w:t>604313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 xml:space="preserve">3 — _IDUA_ (OMIM:* </w:t>
      </w:r>
      <w:hyperlink r:id="rId28">
        <w:r>
          <w:rPr>
            <w:color w:val="173C49"/>
            <w:u w:val="single"/>
          </w:rPr>
          <w:t>252800</w:t>
        </w:r>
      </w:hyperlink>
      <w:r>
        <w:rPr>
          <w:b/>
          <w:i w:val="0"/>
        </w:rPr>
        <w:t>)</w:t>
      </w:r>
    </w:p>
    <w:p>
      <w:pPr>
        <w:ind w:left="504"/>
      </w:pPr>
      <w:r>
        <w:rPr>
          <w:b w:val="0"/>
          <w:i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 1 типа. Синдром Гурлер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Галактоземия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Гликогеновая болезнь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Мукополисахаридоз 1 типа. Синдром Гурлер</w:t>
      </w:r>
    </w:p>
    <w:p>
      <w:pPr>
        <w:ind w:left="504"/>
      </w:pPr>
      <w:r>
        <w:rPr>
          <w:b w:val="0"/>
          <w:i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Тип наследования мукополисахаридоза 1 типа (OMIM:* </w:t>
      </w:r>
      <w:hyperlink r:id="rId33">
        <w:r>
          <w:rPr>
            <w:color w:val="173C49"/>
            <w:u w:val="single"/>
          </w:rPr>
          <w:t>607014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X-сцепленный 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аутосомно-доминантный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X-сцепленный доминантный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аутосомно-рецессивный</w:t>
      </w:r>
    </w:p>
    <w:p>
      <w:pPr>
        <w:ind w:left="504"/>
      </w:pP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50%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составляет 15%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составляет 25%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составляет 25% независимо от пола</w:t>
      </w:r>
    </w:p>
    <w:p>
      <w:pPr>
        <w:ind w:left="504"/>
      </w:pPr>
      <w:r>
        <w:rPr>
          <w:b w:val="0"/>
          <w:i/>
        </w:rPr>
        <w:t>В случае аутосомно-рецессивных заболеваний, рекуррентный риск составляет 25%</w:t>
        <w:br/>
        <w:br/>
        <w:t>При аутосомно-рецессивном заболевании родители являются гетерозиготными носителями мутантного гена</w:t>
        <w:br/>
        <w:br/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  <w:br/>
        <w:br/>
        <w:t>Генетика. Учебник для вузов/Под. ред. академ. РАМН В.И. Иванова. - М.: ИКЦ «Академкнига», 2006, 2007 - 639 с.:ил., стр. 453, стр. 455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деторождение противопоказано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пренатальная диагностика 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рекомендовано проведение пренатальной диагностики при наступлении следующей беременности</w:t>
      </w:r>
    </w:p>
    <w:p>
      <w:pPr>
        <w:ind w:left="504"/>
      </w:pPr>
      <w:r>
        <w:rPr>
          <w:b w:val="0"/>
          <w:i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рекомендована до достижения 2-х 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после 10 летнего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рекомендована до достижения 2-х летнего возраста</w:t>
      </w:r>
    </w:p>
    <w:p>
      <w:pPr>
        <w:ind w:left="504"/>
      </w:pPr>
      <w:r>
        <w:rPr>
          <w:b w:val="0"/>
          <w:i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трансплантации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ферментзаместительной терапии ларонидазой из расчета 100 ЕД/кг в виде в/в инфузии еженедельно</w:t>
      </w:r>
    </w:p>
    <w:p>
      <w:pPr>
        <w:ind w:left="504"/>
      </w:pPr>
      <w:r>
        <w:rPr>
          <w:b w:val="0"/>
          <w:i/>
        </w:rPr>
        <w:t>Комментарии: Рекомендовано проведение ферментной заместительной терапии (ФЗТ). ФЗТ проводится ларонидазой (код ATX A16AB05).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  <w:br/>
        <w:br/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проводится только до проведения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504"/>
      </w:pPr>
      <w:r>
        <w:rPr>
          <w:b w:val="0"/>
          <w:i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показаны с 5-летнего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показаны и разрабатываются индивидуально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показаны и разрабатываются индивидуально</w:t>
      </w:r>
    </w:p>
    <w:p>
      <w:pPr>
        <w:ind w:left="504"/>
      </w:pPr>
      <w:r>
        <w:rPr>
          <w:b w:val="0"/>
          <w:i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  <w:br/>
        <w:br/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только в 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показана</w:t>
      </w:r>
    </w:p>
    <w:p>
      <w:pPr>
        <w:ind w:left="504"/>
      </w:pPr>
      <w:r>
        <w:rPr>
          <w:b w:val="0"/>
          <w:i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49" TargetMode="External"/><Relationship Id="rId21" Type="http://schemas.openxmlformats.org/officeDocument/2006/relationships/hyperlink" Target="https://library.mededtech.ru/rest/documents/cr_49/#paragraph_1fk2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cr_49/#list_item_ef1n0" TargetMode="External"/><Relationship Id="rId24" Type="http://schemas.openxmlformats.org/officeDocument/2006/relationships/hyperlink" Target="https://library.mededtech.ru/rest/documents/cr_49/#list_item_jeth4" TargetMode="External"/><Relationship Id="rId25" Type="http://schemas.openxmlformats.org/officeDocument/2006/relationships/hyperlink" Target="https://omim.org/entry/606953" TargetMode="External"/><Relationship Id="rId26" Type="http://schemas.openxmlformats.org/officeDocument/2006/relationships/hyperlink" Target="https://omim.org/entry/612349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omim.org/entry/252800" TargetMode="External"/><Relationship Id="rId29" Type="http://schemas.openxmlformats.org/officeDocument/2006/relationships/hyperlink" Target="https://omim.org/entry/604313" TargetMode="External"/><Relationship Id="rId30" Type="http://schemas.openxmlformats.org/officeDocument/2006/relationships/hyperlink" Target="https://library.mededtech.ru/rest/documents/cr_49/#list_item_527mr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cr_49/#paragraph_83roc" TargetMode="External"/><Relationship Id="rId33" Type="http://schemas.openxmlformats.org/officeDocument/2006/relationships/hyperlink" Target="https://omim.org/entry/607014" TargetMode="External"/><Relationship Id="rId34" Type="http://schemas.openxmlformats.org/officeDocument/2006/relationships/hyperlink" Target="https://library.mededtech.ru/rest/documents/cr_49/#paragraph_vanug" TargetMode="External"/><Relationship Id="rId35" Type="http://schemas.openxmlformats.org/officeDocument/2006/relationships/hyperlink" Target="https://library.mededtech.ru/rest/documents/cr_49/#paragraph_b422p" TargetMode="External"/><Relationship Id="rId36" Type="http://schemas.openxmlformats.org/officeDocument/2006/relationships/image" Target="media/image8.png"/><Relationship Id="rId37" Type="http://schemas.openxmlformats.org/officeDocument/2006/relationships/hyperlink" Target="https://library.mededtech.ru/rest/documents/cr_49/#list_item_7d9da" TargetMode="External"/><Relationship Id="rId38" Type="http://schemas.openxmlformats.org/officeDocument/2006/relationships/hyperlink" Target="https://library.mededtech.ru/rest/documents/cr_49/#list_item_ak297" TargetMode="External"/><Relationship Id="rId39" Type="http://schemas.openxmlformats.org/officeDocument/2006/relationships/hyperlink" Target="https://library.mededtech.ru/rest/documents/cr_49/#paragraph_2pr15" TargetMode="External"/><Relationship Id="rId40" Type="http://schemas.openxmlformats.org/officeDocument/2006/relationships/hyperlink" Target="https://library.mededtech.ru/rest/documents/cr_49/#paragraph_569c8" TargetMode="External"/><Relationship Id="rId41" Type="http://schemas.openxmlformats.org/officeDocument/2006/relationships/hyperlink" Target="https://library.mededtech.ru/rest/documents/cr_49/#paragraph_1qn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